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color w:val="365f91"/>
        </w:rPr>
      </w:pPr>
      <w:r>
        <w:rPr>
          <w:color w:val="365f91"/>
        </w:rPr>
      </w:r>
      <w:r>
        <w:rPr>
          <w:color w:val="365f91"/>
        </w:rPr>
      </w:r>
    </w:p>
    <w:p>
      <w:pPr>
        <w:rPr>
          <w:color w:val="365f91"/>
        </w:rPr>
      </w:pPr>
      <w:r>
        <w:rPr>
          <w:color w:val="365f91"/>
        </w:rPr>
        <w:t xml:space="preserve">«</w:t>
      </w:r>
      <w:r>
        <w:rPr>
          <w:color w:val="365f91"/>
        </w:rPr>
        <w:t xml:space="preserve">28</w:t>
      </w:r>
      <w:r>
        <w:rPr>
          <w:color w:val="365f91"/>
        </w:rPr>
        <w:t xml:space="preserve">»</w:t>
      </w:r>
      <w:r>
        <w:rPr>
          <w:color w:val="365f91"/>
        </w:rPr>
        <w:t xml:space="preserve"> </w:t>
      </w:r>
      <w:r>
        <w:rPr>
          <w:color w:val="365f91"/>
        </w:rPr>
        <w:t xml:space="preserve">октября</w:t>
      </w:r>
      <w:r>
        <w:rPr>
          <w:color w:val="365f91"/>
        </w:rPr>
        <w:t xml:space="preserve"> </w:t>
      </w:r>
      <w:r>
        <w:rPr>
          <w:color w:val="365f91"/>
        </w:rPr>
        <w:t xml:space="preserve">20</w:t>
      </w:r>
      <w:r>
        <w:rPr>
          <w:color w:val="365f91"/>
        </w:rPr>
        <w:t xml:space="preserve">2</w:t>
      </w:r>
      <w:r>
        <w:rPr>
          <w:color w:val="365f91"/>
        </w:rPr>
        <w:t xml:space="preserve">5</w:t>
      </w:r>
      <w:r>
        <w:rPr>
          <w:color w:val="365f91"/>
        </w:rPr>
        <w:t xml:space="preserve"> г</w:t>
      </w:r>
      <w:r>
        <w:rPr>
          <w:color w:val="365f91"/>
        </w:rPr>
        <w:t xml:space="preserve">.</w:t>
      </w: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ab/>
      </w:r>
      <w:r>
        <w:rPr>
          <w:color w:val="365f91"/>
        </w:rPr>
        <w:t xml:space="preserve">      </w:t>
      </w:r>
      <w:r>
        <w:rPr>
          <w:color w:val="365f91"/>
        </w:rPr>
        <w:tab/>
      </w:r>
      <w:r>
        <w:rPr>
          <w:color w:val="365f91"/>
        </w:rPr>
        <w:t xml:space="preserve">    </w:t>
      </w:r>
      <w:r>
        <w:rPr>
          <w:color w:val="365f91"/>
        </w:rPr>
        <w:tab/>
        <w:t xml:space="preserve">      </w:t>
      </w:r>
      <w:r>
        <w:rPr>
          <w:color w:val="365f91"/>
        </w:rPr>
        <w:t xml:space="preserve"> </w:t>
      </w:r>
      <w:r>
        <w:rPr>
          <w:color w:val="365f91"/>
        </w:rPr>
        <w:t xml:space="preserve">    </w:t>
      </w:r>
      <w:r>
        <w:rPr>
          <w:color w:val="365f91"/>
        </w:rPr>
        <w:t xml:space="preserve">№</w:t>
      </w:r>
      <w:r>
        <w:rPr>
          <w:color w:val="365f91"/>
        </w:rPr>
        <w:t xml:space="preserve"> </w:t>
      </w:r>
      <w:r>
        <w:rPr>
          <w:bCs/>
          <w:color w:val="365f91"/>
        </w:rPr>
        <w:t xml:space="preserve">2</w:t>
      </w:r>
      <w:r>
        <w:rPr>
          <w:bCs/>
          <w:color w:val="365f91"/>
        </w:rPr>
        <w:t xml:space="preserve">20499</w:t>
      </w:r>
      <w:r>
        <w:rPr>
          <w:color w:val="365f91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УВЕДОМЛЕНИЕ</w:t>
      </w:r>
      <w:r>
        <w:rPr>
          <w:b/>
          <w:sz w:val="28"/>
          <w:szCs w:val="28"/>
        </w:rPr>
      </w:r>
    </w:p>
    <w:p>
      <w:pPr>
        <w:jc w:val="center"/>
        <w:widowControl w:val="off"/>
      </w:pPr>
      <w:r>
        <w:t xml:space="preserve">о </w:t>
      </w:r>
      <w:r>
        <w:t xml:space="preserve">продлении срока подачи заявок на участие в закупке</w:t>
      </w:r>
      <w:r>
        <w:t xml:space="preserve"> </w:t>
      </w:r>
      <w:r/>
    </w:p>
    <w:p>
      <w:pPr>
        <w:jc w:val="both"/>
        <w:widowControl w:val="off"/>
        <w:rPr>
          <w:rFonts w:cs="Arial"/>
          <w:color w:val="0000ff"/>
        </w:rPr>
      </w:pPr>
      <w:r>
        <w:t xml:space="preserve">       </w:t>
      </w:r>
      <w:r>
        <w:rPr>
          <w:rFonts w:cs="Arial"/>
          <w:color w:val="0000ff"/>
        </w:rPr>
      </w:r>
    </w:p>
    <w:p>
      <w:pPr>
        <w:ind w:firstLine="708"/>
        <w:jc w:val="both"/>
      </w:pPr>
      <w:r>
        <w:rPr>
          <w:bCs/>
        </w:rPr>
        <w:t xml:space="preserve">В целях удовлетворения нужд Заказчика</w:t>
      </w:r>
      <w:r>
        <w:t xml:space="preserve">, </w:t>
      </w:r>
      <w:r>
        <w:rPr>
          <w:bCs/>
        </w:rPr>
        <w:t xml:space="preserve">Организатор закупки ― ООО «Интер РАО ― Центр управления закупками» (</w:t>
      </w:r>
      <w:r>
        <w:rPr>
          <w:bCs/>
        </w:rPr>
        <w:t xml:space="preserve">119435, </w:t>
      </w:r>
      <w:r>
        <w:rPr>
          <w:rFonts w:hint="eastAsia"/>
          <w:bCs/>
        </w:rPr>
        <w:t xml:space="preserve">г</w:t>
      </w:r>
      <w:r>
        <w:rPr>
          <w:bCs/>
        </w:rPr>
        <w:t xml:space="preserve">. </w:t>
      </w:r>
      <w:r>
        <w:rPr>
          <w:rFonts w:hint="eastAsia"/>
          <w:bCs/>
        </w:rPr>
        <w:t xml:space="preserve">Москва</w:t>
      </w:r>
      <w:r>
        <w:rPr>
          <w:bCs/>
        </w:rPr>
        <w:t xml:space="preserve">, </w:t>
      </w:r>
      <w:r>
        <w:rPr>
          <w:rFonts w:hint="eastAsia"/>
          <w:bCs/>
        </w:rPr>
        <w:t xml:space="preserve">ул</w:t>
      </w:r>
      <w:r>
        <w:rPr>
          <w:bCs/>
        </w:rPr>
        <w:t xml:space="preserve">. </w:t>
      </w:r>
      <w:r>
        <w:rPr>
          <w:rFonts w:hint="eastAsia"/>
          <w:bCs/>
        </w:rPr>
        <w:t xml:space="preserve">Б</w:t>
      </w:r>
      <w:r>
        <w:rPr>
          <w:bCs/>
        </w:rPr>
        <w:t xml:space="preserve">. </w:t>
      </w:r>
      <w:r>
        <w:rPr>
          <w:rFonts w:hint="eastAsia"/>
          <w:bCs/>
        </w:rPr>
        <w:t xml:space="preserve">Пироговская</w:t>
      </w:r>
      <w:r>
        <w:rPr>
          <w:bCs/>
        </w:rPr>
        <w:t xml:space="preserve">, </w:t>
      </w:r>
      <w:r>
        <w:rPr>
          <w:rFonts w:hint="eastAsia"/>
          <w:bCs/>
        </w:rPr>
        <w:t xml:space="preserve">д</w:t>
      </w:r>
      <w:r>
        <w:rPr>
          <w:bCs/>
        </w:rPr>
        <w:t xml:space="preserve">. 27, стр. 3)</w:t>
      </w:r>
      <w:r>
        <w:t xml:space="preserve">, на основании Закупочной документации </w:t>
      </w:r>
      <w:r>
        <w:t xml:space="preserve">по</w:t>
      </w:r>
      <w:r>
        <w:t xml:space="preserve"> </w:t>
      </w:r>
      <w:r>
        <w:t xml:space="preserve">закрытому запросу</w:t>
      </w:r>
      <w:r>
        <w:t xml:space="preserve"> </w:t>
      </w:r>
      <w:r>
        <w:t xml:space="preserve">предложений</w:t>
      </w:r>
      <w:r>
        <w:t xml:space="preserve"> </w:t>
      </w:r>
      <w:r>
        <w:t xml:space="preserve">в электронной форме</w:t>
      </w:r>
      <w:r>
        <w:t xml:space="preserve"> на</w:t>
      </w:r>
      <w:r>
        <w:t xml:space="preserve"> </w:t>
      </w:r>
      <w:r>
        <w:t xml:space="preserve">поставку</w:t>
      </w:r>
      <w:r>
        <w:t xml:space="preserve">: </w:t>
      </w:r>
      <w:r>
        <w:rPr>
          <w:b/>
        </w:rPr>
        <w:t xml:space="preserve">«</w:t>
      </w:r>
      <w:r>
        <w:rPr>
          <w:b/>
        </w:rPr>
        <w:t xml:space="preserve">Приобретение </w:t>
      </w:r>
      <w:r>
        <w:rPr>
          <w:b/>
        </w:rPr>
        <w:t xml:space="preserve">импортозамещенных</w:t>
      </w:r>
      <w:r>
        <w:rPr>
          <w:b/>
        </w:rPr>
        <w:t xml:space="preserve"> средств </w:t>
      </w:r>
      <w:r>
        <w:rPr>
          <w:b/>
        </w:rPr>
        <w:t xml:space="preserve">зеркалирования</w:t>
      </w:r>
      <w:r>
        <w:rPr>
          <w:b/>
        </w:rPr>
        <w:t xml:space="preserve"> сетевого трафика для ООО "Интер РАО - ИТ"</w:t>
      </w:r>
      <w:r>
        <w:rPr>
          <w:b/>
        </w:rPr>
        <w:t xml:space="preserve">»</w:t>
      </w:r>
      <w:r>
        <w:t xml:space="preserve">,</w:t>
      </w:r>
      <w:r>
        <w:t xml:space="preserve"> </w:t>
      </w:r>
      <w:r>
        <w:t xml:space="preserve">настоящим сообщает о </w:t>
      </w:r>
      <w:r>
        <w:t xml:space="preserve">продлении срока </w:t>
      </w:r>
      <w:r>
        <w:t xml:space="preserve">подачи заявок на участие в закупке.</w:t>
      </w:r>
      <w:r/>
    </w:p>
    <w:p>
      <w:pPr>
        <w:ind w:firstLine="708"/>
        <w:jc w:val="both"/>
      </w:pPr>
      <w:r/>
      <w:r/>
    </w:p>
    <w:p>
      <w:pPr>
        <w:pStyle w:val="873"/>
        <w:numPr>
          <w:ilvl w:val="0"/>
          <w:numId w:val="0"/>
        </w:numPr>
        <w:ind w:firstLine="709"/>
        <w:jc w:val="both"/>
      </w:pPr>
      <w:r/>
      <w:r/>
    </w:p>
    <w:p>
      <w:pPr>
        <w:pStyle w:val="873"/>
        <w:numPr>
          <w:ilvl w:val="0"/>
          <w:numId w:val="0"/>
        </w:numPr>
        <w:ind w:firstLine="709"/>
        <w:jc w:val="both"/>
      </w:pPr>
      <w:r>
        <w:t xml:space="preserve">Учитывая вышесказанное, просим Извещение читать в следующей редакции:</w:t>
      </w:r>
      <w:r/>
    </w:p>
    <w:p>
      <w:pPr>
        <w:ind w:firstLine="708"/>
        <w:jc w:val="both"/>
        <w:widowControl w:val="off"/>
        <w:rPr>
          <w:b/>
        </w:rPr>
      </w:pPr>
      <w:r/>
      <w:bookmarkStart w:id="0" w:name="_GoBack"/>
      <w:r/>
      <w:bookmarkEnd w:id="0"/>
      <w:r/>
      <w:r>
        <w:rPr>
          <w:b/>
        </w:rPr>
      </w:r>
    </w:p>
    <w:p>
      <w:pPr>
        <w:jc w:val="both"/>
        <w:spacing w:before="60" w:after="60"/>
        <w:widowControl w:val="off"/>
        <w:outlineLvl w:val="0"/>
      </w:pPr>
      <w:r>
        <w:t xml:space="preserve">21. </w:t>
      </w:r>
      <w:r>
        <w:t xml:space="preserve">Место подачи и срок окончания подачи заявок на участие в закупке: заявки на участие в закупке должны быть поданы </w:t>
      </w:r>
      <w:r>
        <w:rPr>
          <w:b/>
        </w:rPr>
        <w:t xml:space="preserve">до 12:00 (по московскому времени) «31» октября 2025 года</w:t>
      </w:r>
      <w:r>
        <w:t xml:space="preserve"> через соответствующий функционал электронной торговой площадки, указанный в пункте 3 настоящего Извещения.</w:t>
      </w:r>
      <w:r/>
    </w:p>
    <w:p>
      <w:pPr>
        <w:jc w:val="both"/>
        <w:spacing w:before="60" w:after="60"/>
        <w:widowControl w:val="off"/>
        <w:outlineLvl w:val="0"/>
      </w:pPr>
      <w:r>
        <w:t xml:space="preserve">23. </w:t>
      </w:r>
      <w:r>
        <w:t xml:space="preserve">Организатор закупки проведет процедуру вскрытия конвертов: </w:t>
      </w:r>
      <w:r>
        <w:rPr>
          <w:b/>
        </w:rPr>
        <w:t xml:space="preserve">«31» октября 2025 года</w:t>
      </w:r>
      <w:r/>
    </w:p>
    <w:p>
      <w:pPr>
        <w:jc w:val="both"/>
        <w:spacing w:before="60" w:after="60"/>
        <w:widowControl w:val="off"/>
        <w:tabs>
          <w:tab w:val="num" w:pos="851" w:leader="none"/>
        </w:tabs>
        <w:rPr>
          <w:b/>
        </w:rPr>
        <w:outlineLvl w:val="0"/>
      </w:pPr>
      <w:r>
        <w:t xml:space="preserve">24.</w:t>
      </w:r>
      <w:r>
        <w:t xml:space="preserve"> </w:t>
      </w:r>
      <w:r>
        <w:t xml:space="preserve">Дата рассмотрения предложений участников закупки и подведения итогов закупки: до </w:t>
      </w:r>
      <w:r>
        <w:rPr>
          <w:b/>
        </w:rPr>
        <w:t xml:space="preserve">«24» декабря 2025 года.</w:t>
      </w:r>
      <w:r>
        <w:rPr>
          <w:rStyle w:val="874"/>
          <w:b/>
        </w:rPr>
        <w:footnoteReference w:id="2"/>
      </w:r>
      <w:r>
        <w:rPr>
          <w:b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567" w:right="567" w:bottom="567" w:left="1134" w:header="142" w:footer="221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ios">
    <w:panose1 w:val="020B0604020202020204"/>
  </w:font>
  <w:font w:name="HeliosCond">
    <w:panose1 w:val="020B0604020202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 xml:space="preserve">Общество с ограниченной отв</w:t>
    </w:r>
    <w:r>
      <w:rPr>
        <w:color w:val="365f91"/>
        <w:sz w:val="16"/>
        <w:szCs w:val="16"/>
      </w:rPr>
      <w:t xml:space="preserve">е</w:t>
    </w:r>
    <w:r>
      <w:rPr>
        <w:color w:val="365f91"/>
        <w:sz w:val="16"/>
        <w:szCs w:val="16"/>
      </w:rPr>
      <w:t xml:space="preserve">т</w:t>
    </w:r>
    <w:r>
      <w:rPr>
        <w:color w:val="365f91"/>
        <w:sz w:val="16"/>
        <w:szCs w:val="16"/>
      </w:rPr>
      <w:t xml:space="preserve">ственностью</w:t>
    </w:r>
    <w:r>
      <w:rPr>
        <w:color w:val="365f91"/>
        <w:sz w:val="16"/>
        <w:szCs w:val="16"/>
      </w:rPr>
      <w:t xml:space="preserve"> «И</w:t>
    </w:r>
    <w:r>
      <w:rPr>
        <w:color w:val="365f91"/>
        <w:sz w:val="16"/>
        <w:szCs w:val="16"/>
      </w:rPr>
      <w:t xml:space="preserve">нтер</w:t>
    </w:r>
    <w:r>
      <w:rPr>
        <w:color w:val="365f91"/>
        <w:sz w:val="16"/>
        <w:szCs w:val="16"/>
      </w:rPr>
      <w:t xml:space="preserve"> РАО </w:t>
    </w:r>
    <w:r>
      <w:rPr>
        <w:color w:val="365f91"/>
        <w:sz w:val="16"/>
        <w:szCs w:val="16"/>
      </w:rPr>
      <w:t xml:space="preserve">―</w:t>
    </w:r>
    <w:r>
      <w:rPr>
        <w:color w:val="365f91"/>
        <w:sz w:val="16"/>
        <w:szCs w:val="16"/>
      </w:rPr>
      <w:t xml:space="preserve"> Центр управления закупками»</w:t>
    </w:r>
    <w:r>
      <w:rPr>
        <w:sz w:val="28"/>
        <w:szCs w:val="28"/>
      </w:rPr>
    </w:r>
  </w:p>
  <w:p>
    <w:pPr>
      <w:pStyle w:val="87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pStyle w:val="889"/>
      </w:pPr>
      <w:r>
        <w:rPr>
          <w:rStyle w:val="874"/>
        </w:rPr>
        <w:footnoteRef/>
      </w:r>
      <w:r>
        <w:t xml:space="preserve"> Допускается размещение протокола, составляемого по итогам конкурентной закупки, в любое время, но не позднее даты указанной в настоящем пункте.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>
      <w:tblPrEx/>
      <w:trPr>
        <w:trHeight w:val="991"/>
      </w:trPr>
      <w:tc>
        <w:tcPr>
          <w:tcW w:w="11907" w:type="dxa"/>
          <w:vAlign w:val="center"/>
          <w:textDirection w:val="lrTb"/>
          <w:noWrap w:val="false"/>
        </w:tcPr>
        <w:p>
          <w:pPr>
            <w:jc w:val="center"/>
            <w:widowControl w:val="off"/>
            <w:tabs>
              <w:tab w:val="left" w:pos="907" w:leader="none"/>
              <w:tab w:val="left" w:pos="8931" w:leader="none"/>
            </w:tabs>
            <w:rPr>
              <w:lang w:eastAsia="en-US"/>
            </w:rPr>
          </w:pPr>
          <w: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2162175" cy="695325"/>
                    <wp:effectExtent l="0" t="0" r="9525" b="9525"/>
                    <wp:docPr id="1" name="Рисунок 1" descr="Горизонтальный JP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Рисунок 1" descr="Горизонтальный JPG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1"/>
                            <a:stretch/>
                          </pic:blipFill>
                          <pic:spPr bwMode="auto">
                            <a:xfrm>
                              <a:off x="0" y="0"/>
                              <a:ext cx="2162175" cy="6953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type="#_x0000_t75" o:spt="75" coordsize="21600,21600" o:preferrelative="t" path="m@4@5l@4@11@9@11@9@5xe"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</v:shapetype>
                  <v:shape id="_x0000_i0" o:spid="_x0000_s0" type="#_x0000_t75" style="width:170.25pt;height:54.75pt;mso-wrap-distance-left:0.00pt;mso-wrap-distance-top:0.00pt;mso-wrap-distance-right:0.00pt;mso-wrap-distance-bottom:0.00pt;" stroked="f">
                    <v:path textboxrect="0,0,0,0"/>
                    <v:imagedata r:id="rId1" o:title=""/>
                  </v:shape>
                </w:pict>
              </mc:Fallback>
            </mc:AlternateContent>
          </w:r>
          <w:r>
            <w:rPr>
              <w:lang w:eastAsia="en-US"/>
            </w:rPr>
          </w:r>
        </w:p>
      </w:tc>
    </w:tr>
    <w:tr>
      <w:tblPrEx/>
      <w:trPr>
        <w:trHeight w:val="707"/>
      </w:trPr>
      <w:tc>
        <w:tcPr>
          <w:tcW w:w="11907" w:type="dxa"/>
          <w:vAlign w:val="center"/>
          <w:textDirection w:val="lrTb"/>
          <w:noWrap w:val="false"/>
        </w:tcPr>
        <w:p>
          <w:pPr>
            <w:ind w:left="1168" w:right="1167"/>
            <w:jc w:val="center"/>
            <w:tabs>
              <w:tab w:val="left" w:pos="8931" w:leader="none"/>
            </w:tabs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Пироговская ул., д. 27, стр. 3, г. Москва, Россия, 119435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</w:p>
        <w:p>
          <w:pPr>
            <w:jc w:val="center"/>
            <w:tabs>
              <w:tab w:val="left" w:pos="8931" w:leader="none"/>
            </w:tabs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Телефон: +7 (495) 664 8840, Факс: +7 (495) 664 8841</w:t>
          </w: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r>
        </w:p>
        <w:p>
          <w:pPr>
            <w:ind w:left="1168" w:right="1167"/>
            <w:jc w:val="center"/>
            <w:widowControl w:val="off"/>
            <w:tabs>
              <w:tab w:val="left" w:pos="8931" w:leader="none"/>
            </w:tabs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www.interrao-zakupki.ru</w:t>
          </w:r>
          <w:r>
            <w:rPr>
              <w:sz w:val="18"/>
              <w:szCs w:val="18"/>
              <w:lang w:eastAsia="en-US"/>
            </w:rPr>
          </w:r>
        </w:p>
      </w:tc>
    </w:tr>
  </w:tbl>
  <w:p>
    <w:pPr>
      <w:pStyle w:val="866"/>
      <w:rPr>
        <w:lang w:val="ru-RU"/>
      </w:rPr>
    </w:pPr>
    <w:r>
      <w:rPr>
        <w:lang w:val="ru-RU"/>
      </w:rPr>
    </w:r>
    <w:r>
      <w:rPr>
        <w:lang w:val="ru-RU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873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4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hint="default"/>
        <w:sz w:val="28"/>
        <w:szCs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4" w:hanging="284"/>
        <w:tabs>
          <w:tab w:val="num" w:pos="0" w:leader="none"/>
        </w:tabs>
      </w:pPr>
      <w:rPr>
        <w:rFonts w:hint="default"/>
        <w:b w:val="0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rFonts w:ascii="Times New Roman" w:hAnsi="Times New Roman" w:eastAsia="Times New Roman" w:cs="Times New Roman"/>
        <w:b w:val="0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12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tabs>
          <w:tab w:val="num" w:pos="0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2."/>
      <w:lvlJc w:val="left"/>
      <w:pPr>
        <w:tabs>
          <w:tab w:val="num" w:pos="0" w:leader="none"/>
        </w:tabs>
      </w:pPr>
      <w:rPr>
        <w:rFonts w:ascii="Times New Roman" w:hAnsi="Times New Roman" w:eastAsia="Times New Roman" w:cs="Times New Roman"/>
        <w:i w:val="0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16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2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1">
      <w:start w:val="8"/>
      <w:numFmt w:val="decimal"/>
      <w:isLgl w:val="false"/>
      <w:suff w:val="tab"/>
      <w:lvlText w:val="%2."/>
      <w:lvlJc w:val="left"/>
      <w:pPr>
        <w:ind w:left="0" w:firstLine="0"/>
        <w:tabs>
          <w:tab w:val="num" w:pos="0" w:leader="none"/>
        </w:tabs>
      </w:pPr>
      <w:rPr>
        <w:rFonts w:hint="default" w:ascii="Times New Roman" w:hAnsi="Times New Roman" w:eastAsia="Times New Roman" w:cs="Times New Roman"/>
        <w:i w:val="0"/>
        <w:color w:val="auto"/>
      </w:rPr>
    </w:lvl>
    <w:lvl w:ilvl="2">
      <w:start w:val="1"/>
      <w:numFmt w:val="decimal"/>
      <w:isLgl w:val="false"/>
      <w:suff w:val="tab"/>
      <w:lvlText w:val="%1.%2.%3"/>
      <w:lvlJc w:val="left"/>
      <w:pPr>
        <w:ind w:left="0" w:firstLine="0"/>
        <w:tabs>
          <w:tab w:val="num" w:pos="0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3" w:hanging="720"/>
        <w:tabs>
          <w:tab w:val="num" w:pos="153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13" w:hanging="1080"/>
        <w:tabs>
          <w:tab w:val="num" w:pos="513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873" w:hanging="1440"/>
        <w:tabs>
          <w:tab w:val="num" w:pos="87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233" w:hanging="1800"/>
        <w:tabs>
          <w:tab w:val="num" w:pos="1233" w:leader="none"/>
        </w:tabs>
      </w:pPr>
      <w:rPr>
        <w:rFonts w:hint="default"/>
      </w:rPr>
    </w:lvl>
  </w:abstractNum>
  <w:abstractNum w:abstractNumId="22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6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6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8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2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8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4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0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abstractNum w:abstractNumId="36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7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9">
    <w:multiLevelType w:val="hybridMultilevel"/>
    <w:lvl w:ilvl="0">
      <w:start w:val="13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38"/>
  </w:num>
  <w:num w:numId="2">
    <w:abstractNumId w:val="0"/>
  </w:num>
  <w:num w:numId="3">
    <w:abstractNumId w:val="5"/>
  </w:num>
  <w:num w:numId="4">
    <w:abstractNumId w:val="2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19"/>
  </w:num>
  <w:num w:numId="8">
    <w:abstractNumId w:val="28"/>
  </w:num>
  <w:num w:numId="9">
    <w:abstractNumId w:val="29"/>
  </w:num>
  <w:num w:numId="10">
    <w:abstractNumId w:val="39"/>
  </w:num>
  <w:num w:numId="11">
    <w:abstractNumId w:val="27"/>
  </w:num>
  <w:num w:numId="12">
    <w:abstractNumId w:val="22"/>
  </w:num>
  <w:num w:numId="13">
    <w:abstractNumId w:val="35"/>
  </w:num>
  <w:num w:numId="14">
    <w:abstractNumId w:val="9"/>
  </w:num>
  <w:num w:numId="15">
    <w:abstractNumId w:val="6"/>
  </w:num>
  <w:num w:numId="16">
    <w:abstractNumId w:val="30"/>
  </w:num>
  <w:num w:numId="17">
    <w:abstractNumId w:val="36"/>
  </w:num>
  <w:num w:numId="18">
    <w:abstractNumId w:val="37"/>
  </w:num>
  <w:num w:numId="19">
    <w:abstractNumId w:val="34"/>
  </w:num>
  <w:num w:numId="20">
    <w:abstractNumId w:val="13"/>
  </w:num>
  <w:num w:numId="21">
    <w:abstractNumId w:val="33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</w:num>
  <w:num w:numId="24">
    <w:abstractNumId w:val="8"/>
  </w:num>
  <w:num w:numId="25">
    <w:abstractNumId w:val="32"/>
  </w:num>
  <w:num w:numId="26">
    <w:abstractNumId w:val="18"/>
  </w:num>
  <w:num w:numId="27">
    <w:abstractNumId w:val="31"/>
  </w:num>
  <w:num w:numId="28">
    <w:abstractNumId w:val="12"/>
  </w:num>
  <w:num w:numId="29">
    <w:abstractNumId w:val="24"/>
  </w:num>
  <w:num w:numId="30">
    <w:abstractNumId w:val="23"/>
  </w:num>
  <w:num w:numId="31">
    <w:abstractNumId w:val="25"/>
  </w:num>
  <w:num w:numId="32">
    <w:abstractNumId w:val="3"/>
  </w:num>
  <w:num w:numId="33">
    <w:abstractNumId w:val="10"/>
  </w:num>
  <w:num w:numId="34">
    <w:abstractNumId w:val="0"/>
  </w:num>
  <w:num w:numId="35">
    <w:abstractNumId w:val="21"/>
  </w:num>
  <w:num w:numId="36">
    <w:abstractNumId w:val="17"/>
  </w:num>
  <w:num w:numId="37">
    <w:abstractNumId w:val="1"/>
  </w:num>
  <w:num w:numId="38">
    <w:abstractNumId w:val="26"/>
  </w:num>
  <w:num w:numId="39">
    <w:abstractNumId w:val="2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7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</w:num>
  <w:num w:numId="43">
    <w:abstractNumId w:val="20"/>
  </w:num>
  <w:num w:numId="44">
    <w:abstractNumId w:val="15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862"/>
    <w:next w:val="86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863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862"/>
    <w:next w:val="86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863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862"/>
    <w:next w:val="86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86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862"/>
    <w:next w:val="86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86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862"/>
    <w:next w:val="86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863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862"/>
    <w:next w:val="86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863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862"/>
    <w:next w:val="86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86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862"/>
    <w:next w:val="86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86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862"/>
    <w:next w:val="86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86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862"/>
    <w:next w:val="86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863"/>
    <w:link w:val="34"/>
    <w:uiPriority w:val="10"/>
    <w:rPr>
      <w:sz w:val="48"/>
      <w:szCs w:val="48"/>
    </w:rPr>
  </w:style>
  <w:style w:type="paragraph" w:styleId="36">
    <w:name w:val="Subtitle"/>
    <w:basedOn w:val="862"/>
    <w:next w:val="86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863"/>
    <w:link w:val="36"/>
    <w:uiPriority w:val="11"/>
    <w:rPr>
      <w:sz w:val="24"/>
      <w:szCs w:val="24"/>
    </w:rPr>
  </w:style>
  <w:style w:type="paragraph" w:styleId="38">
    <w:name w:val="Quote"/>
    <w:basedOn w:val="862"/>
    <w:next w:val="86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862"/>
    <w:next w:val="86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863"/>
    <w:link w:val="866"/>
    <w:uiPriority w:val="99"/>
  </w:style>
  <w:style w:type="character" w:styleId="45">
    <w:name w:val="Footer Char"/>
    <w:basedOn w:val="863"/>
    <w:link w:val="871"/>
    <w:uiPriority w:val="99"/>
  </w:style>
  <w:style w:type="paragraph" w:styleId="46">
    <w:name w:val="Caption"/>
    <w:basedOn w:val="862"/>
    <w:next w:val="862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86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8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8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8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8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89"/>
    <w:uiPriority w:val="99"/>
    <w:rPr>
      <w:sz w:val="18"/>
    </w:rPr>
  </w:style>
  <w:style w:type="paragraph" w:styleId="178">
    <w:name w:val="endnote text"/>
    <w:basedOn w:val="86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863"/>
    <w:uiPriority w:val="99"/>
    <w:semiHidden/>
    <w:unhideWhenUsed/>
    <w:rPr>
      <w:vertAlign w:val="superscript"/>
    </w:rPr>
  </w:style>
  <w:style w:type="paragraph" w:styleId="181">
    <w:name w:val="toc 1"/>
    <w:basedOn w:val="862"/>
    <w:next w:val="86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862"/>
    <w:next w:val="862"/>
    <w:uiPriority w:val="39"/>
    <w:unhideWhenUsed/>
    <w:pPr>
      <w:ind w:left="283" w:right="0" w:firstLine="0"/>
      <w:spacing w:after="57"/>
    </w:pPr>
  </w:style>
  <w:style w:type="paragraph" w:styleId="184">
    <w:name w:val="toc 4"/>
    <w:basedOn w:val="862"/>
    <w:next w:val="86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862"/>
    <w:next w:val="86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862"/>
    <w:next w:val="86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862"/>
    <w:next w:val="86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862"/>
    <w:next w:val="86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862"/>
    <w:next w:val="86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862"/>
    <w:next w:val="862"/>
    <w:uiPriority w:val="99"/>
    <w:unhideWhenUsed/>
    <w:pPr>
      <w:spacing w:after="0" w:afterAutospacing="0"/>
    </w:pPr>
  </w:style>
  <w:style w:type="paragraph" w:styleId="862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3" w:default="1">
    <w:name w:val="Default Paragraph Font"/>
    <w:uiPriority w:val="1"/>
    <w:semiHidden/>
    <w:unhideWhenUsed/>
  </w:style>
  <w:style w:type="table" w:styleId="8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5" w:default="1">
    <w:name w:val="No List"/>
    <w:uiPriority w:val="99"/>
    <w:semiHidden/>
    <w:unhideWhenUsed/>
  </w:style>
  <w:style w:type="paragraph" w:styleId="866">
    <w:name w:val="Header"/>
    <w:basedOn w:val="862"/>
    <w:link w:val="867"/>
    <w:uiPriority w:val="99"/>
    <w:pPr>
      <w:tabs>
        <w:tab w:val="center" w:pos="4677" w:leader="none"/>
        <w:tab w:val="right" w:pos="9355" w:leader="none"/>
      </w:tabs>
    </w:pPr>
  </w:style>
  <w:style w:type="character" w:styleId="867" w:customStyle="1">
    <w:name w:val="Верхний колонтитул Знак"/>
    <w:basedOn w:val="863"/>
    <w:link w:val="86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68">
    <w:name w:val="Balloon Text"/>
    <w:basedOn w:val="862"/>
    <w:link w:val="869"/>
    <w:uiPriority w:val="99"/>
    <w:semiHidden/>
    <w:unhideWhenUsed/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basedOn w:val="863"/>
    <w:link w:val="868"/>
    <w:uiPriority w:val="99"/>
    <w:semiHidden/>
    <w:rPr>
      <w:rFonts w:ascii="Tahoma" w:hAnsi="Tahoma" w:eastAsia="Times New Roman" w:cs="Tahoma"/>
      <w:sz w:val="16"/>
      <w:szCs w:val="16"/>
      <w:lang w:eastAsia="ru-RU"/>
    </w:rPr>
  </w:style>
  <w:style w:type="character" w:styleId="870">
    <w:name w:val="Hyperlink"/>
    <w:basedOn w:val="863"/>
    <w:uiPriority w:val="99"/>
    <w:unhideWhenUsed/>
    <w:rPr>
      <w:color w:val="0000ff" w:themeColor="hyperlink"/>
      <w:u w:val="single"/>
    </w:rPr>
  </w:style>
  <w:style w:type="paragraph" w:styleId="871">
    <w:name w:val="Footer"/>
    <w:basedOn w:val="862"/>
    <w:link w:val="87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2" w:customStyle="1">
    <w:name w:val="Нижний колонтитул Знак"/>
    <w:basedOn w:val="863"/>
    <w:link w:val="87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3">
    <w:name w:val="List Number"/>
    <w:basedOn w:val="862"/>
    <w:uiPriority w:val="99"/>
    <w:unhideWhenUsed/>
    <w:pPr>
      <w:numPr>
        <w:ilvl w:val="0"/>
        <w:numId w:val="2"/>
      </w:numPr>
      <w:contextualSpacing/>
    </w:pPr>
  </w:style>
  <w:style w:type="character" w:styleId="874">
    <w:name w:val="footnote reference"/>
    <w:basedOn w:val="863"/>
    <w:rPr>
      <w:vertAlign w:val="superscript"/>
    </w:rPr>
  </w:style>
  <w:style w:type="paragraph" w:styleId="875">
    <w:name w:val="List Paragraph"/>
    <w:basedOn w:val="862"/>
    <w:link w:val="881"/>
    <w:uiPriority w:val="34"/>
    <w:qFormat/>
    <w:pPr>
      <w:contextualSpacing/>
      <w:ind w:left="720"/>
    </w:pPr>
  </w:style>
  <w:style w:type="paragraph" w:styleId="876" w:customStyle="1">
    <w:name w:val="Style12"/>
    <w:basedOn w:val="862"/>
    <w:pPr>
      <w:ind w:firstLine="691"/>
      <w:jc w:val="both"/>
      <w:spacing w:line="317" w:lineRule="exact"/>
      <w:widowControl w:val="off"/>
    </w:pPr>
  </w:style>
  <w:style w:type="character" w:styleId="877" w:customStyle="1">
    <w:name w:val="Font Style128"/>
    <w:rPr>
      <w:rFonts w:hint="default" w:ascii="Times New Roman" w:hAnsi="Times New Roman" w:cs="Times New Roman"/>
      <w:color w:val="000000"/>
      <w:sz w:val="26"/>
      <w:szCs w:val="26"/>
    </w:rPr>
  </w:style>
  <w:style w:type="table" w:styleId="878">
    <w:name w:val="Table Grid"/>
    <w:basedOn w:val="86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79">
    <w:name w:val="toc 3"/>
    <w:basedOn w:val="862"/>
    <w:next w:val="862"/>
    <w:semiHidden/>
    <w:pPr>
      <w:ind w:left="1979" w:right="1134" w:hanging="902"/>
      <w:spacing w:after="120"/>
      <w:tabs>
        <w:tab w:val="left" w:pos="1980" w:leader="none"/>
        <w:tab w:val="right" w:pos="10195" w:leader="dot"/>
      </w:tabs>
    </w:pPr>
    <w:rPr>
      <w:iCs/>
    </w:rPr>
  </w:style>
  <w:style w:type="character" w:styleId="880">
    <w:name w:val="FollowedHyperlink"/>
    <w:rPr>
      <w:color w:val="800080"/>
      <w:u w:val="single"/>
    </w:rPr>
  </w:style>
  <w:style w:type="character" w:styleId="881" w:customStyle="1">
    <w:name w:val="Абзац списка Знак"/>
    <w:link w:val="875"/>
    <w:uiPriority w:val="3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2">
    <w:name w:val="page number"/>
    <w:rPr>
      <w:rFonts w:ascii="Times New Roman" w:hAnsi="Times New Roman"/>
      <w:sz w:val="20"/>
    </w:rPr>
  </w:style>
  <w:style w:type="character" w:styleId="883">
    <w:name w:val="annotation reference"/>
    <w:basedOn w:val="863"/>
    <w:uiPriority w:val="99"/>
    <w:semiHidden/>
    <w:unhideWhenUsed/>
    <w:rPr>
      <w:sz w:val="16"/>
      <w:szCs w:val="16"/>
    </w:rPr>
  </w:style>
  <w:style w:type="paragraph" w:styleId="884">
    <w:name w:val="annotation text"/>
    <w:basedOn w:val="862"/>
    <w:link w:val="885"/>
    <w:uiPriority w:val="99"/>
    <w:semiHidden/>
    <w:unhideWhenUsed/>
    <w:rPr>
      <w:sz w:val="20"/>
      <w:szCs w:val="20"/>
    </w:rPr>
  </w:style>
  <w:style w:type="character" w:styleId="885" w:customStyle="1">
    <w:name w:val="Текст примечания Знак"/>
    <w:basedOn w:val="863"/>
    <w:link w:val="884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86">
    <w:name w:val="annotation subject"/>
    <w:basedOn w:val="884"/>
    <w:next w:val="884"/>
    <w:link w:val="887"/>
    <w:uiPriority w:val="99"/>
    <w:semiHidden/>
    <w:unhideWhenUsed/>
    <w:rPr>
      <w:b/>
      <w:bCs/>
    </w:rPr>
  </w:style>
  <w:style w:type="character" w:styleId="887" w:customStyle="1">
    <w:name w:val="Тема примечания Знак"/>
    <w:basedOn w:val="885"/>
    <w:link w:val="886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888" w:customStyle="1">
    <w:name w:val="Текст сноски Знак"/>
    <w:link w:val="889"/>
    <w:uiPriority w:val="99"/>
    <w:semiHidden/>
    <w:rPr>
      <w:sz w:val="18"/>
    </w:rPr>
  </w:style>
  <w:style w:type="paragraph" w:styleId="889">
    <w:name w:val="footnote text"/>
    <w:basedOn w:val="862"/>
    <w:link w:val="888"/>
    <w:uiPriority w:val="99"/>
    <w:semiHidden/>
    <w:pPr>
      <w:ind w:firstLine="567"/>
      <w:jc w:val="both"/>
    </w:pPr>
    <w:rPr>
      <w:rFonts w:asciiTheme="minorHAnsi" w:hAnsiTheme="minorHAnsi" w:eastAsiaTheme="minorHAnsi" w:cstheme="minorBidi"/>
      <w:sz w:val="18"/>
      <w:szCs w:val="22"/>
      <w:lang w:eastAsia="en-US"/>
    </w:rPr>
  </w:style>
  <w:style w:type="character" w:styleId="890" w:customStyle="1">
    <w:name w:val="Текст сноски Знак1"/>
    <w:basedOn w:val="863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Inter RAO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UserIREF</dc:creator>
  <cp:lastModifiedBy>badanina_aa</cp:lastModifiedBy>
  <cp:revision>40</cp:revision>
  <dcterms:created xsi:type="dcterms:W3CDTF">2021-03-16T13:58:00Z</dcterms:created>
  <dcterms:modified xsi:type="dcterms:W3CDTF">2025-10-28T07:57:44Z</dcterms:modified>
</cp:coreProperties>
</file>